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left="1920" w:hanging="1920" w:hanging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地方金融监督管理局下属事业单位202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工作人员岗位及要求一览表</w:t>
      </w:r>
    </w:p>
    <w:tbl>
      <w:tblPr>
        <w:tblStyle w:val="6"/>
        <w:tblpPr w:leftFromText="180" w:rightFromText="180" w:vertAnchor="page" w:horzAnchor="page" w:tblpX="1747" w:tblpY="3711"/>
        <w:tblOverlap w:val="never"/>
        <w:tblW w:w="52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18"/>
        <w:gridCol w:w="737"/>
        <w:gridCol w:w="1262"/>
        <w:gridCol w:w="901"/>
        <w:gridCol w:w="722"/>
        <w:gridCol w:w="737"/>
        <w:gridCol w:w="852"/>
        <w:gridCol w:w="1523"/>
        <w:gridCol w:w="1721"/>
        <w:gridCol w:w="2738"/>
        <w:gridCol w:w="1557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4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单位代码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岗位代码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岗位名称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招聘人数</w:t>
            </w:r>
          </w:p>
        </w:tc>
        <w:tc>
          <w:tcPr>
            <w:tcW w:w="248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考试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类别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考试类别代码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岗位简介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学历学位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专业要求</w:t>
            </w:r>
          </w:p>
        </w:tc>
        <w:tc>
          <w:tcPr>
            <w:tcW w:w="525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其他要求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备注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tbl>
      <w:tblPr>
        <w:tblStyle w:val="6"/>
        <w:tblpPr w:leftFromText="180" w:rightFromText="180" w:vertAnchor="page" w:horzAnchor="page" w:tblpX="1747" w:tblpY="1"/>
        <w:tblOverlap w:val="never"/>
        <w:tblW w:w="14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915"/>
        <w:gridCol w:w="720"/>
        <w:gridCol w:w="1245"/>
        <w:gridCol w:w="915"/>
        <w:gridCol w:w="750"/>
        <w:gridCol w:w="720"/>
        <w:gridCol w:w="825"/>
        <w:gridCol w:w="1560"/>
        <w:gridCol w:w="1710"/>
        <w:gridCol w:w="2745"/>
        <w:gridCol w:w="154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4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eastAsia="zh-CN"/>
              </w:rPr>
              <w:t>贵州省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金融发展服务中心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专业技术人员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金融理论政策研究、金融风险防范、融资服务等工作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本科及以上学历、学士及以上学位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本科专业：金融学、金融工程、保险学、投资学、金融数学、信用管理、经济与金融、精算学、互联网金融、金融科技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研究生专业：金融学、产业经济学、区域经济学、财政学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44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02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金融理论政策研究、金融风险防范、融资服务等工作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本科及以上学历、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学士及以上学位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本科专业：金融学、金融工程、保险学、投资学、金融数学、信用管理、经济与金融、精算学、互联网金融、金融科技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研究生专业：金融学、产业经济学、区域经济学、财政学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限2021年应届毕业生（含择业期内未落实工作单位的高校毕业生）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444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03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数字金融、金融科技、科技金融等信息技术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本科及以上学历、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学士及以上学位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本科专业：计算机科学与技术、软件工程、网络工程、数据科学与大数据技术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研究生专业：计算机系统结构、计算机软件与理论、计算机应用技术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44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" w:eastAsia="zh-CN"/>
              </w:rPr>
              <w:t>4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04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专业技术人员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金融数据统计分析工作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本科及以上学历、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学士及以上学位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本科专业：统计学、应用统计学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研究生专业：统计学、数量经济学、审计学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合计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814" w:type="dxa"/>
            <w:gridSpan w:val="13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eastAsia="zh-CN"/>
              </w:rPr>
              <w:t>专业以贵州人力资源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eastAsia="zh-CN"/>
              </w:rPr>
              <w:t>社会保障网公布的《事业单位公开招聘专业设置参考目录》为准。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lang w:val="en-US" w:eastAsia="zh-CN"/>
              </w:rPr>
              <w:t>2.以上专业为具体专业，不是一级学科或学科门类。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17C4B"/>
    <w:rsid w:val="2E0D74F8"/>
    <w:rsid w:val="66F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2021-12-01T08:27:00Z</dcterms:created>
  <dc:creator>Lenovo</dc:creator>
  <cp:lastModifiedBy>Lenovo</cp:lastModifiedBy>
  <dcterms:modified xsi:type="dcterms:W3CDTF">2021-12-01T08:37:26Z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